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Li, Martin and Fox et Diaz, Villarreal and Vazquez.</w:t>
      </w:r>
    </w:p>
    <w:p>
      <w:pPr>
        <w:pStyle w:val="Heading2"/>
      </w:pPr>
      <w:r>
        <w:t>Article 1 - liability</w:t>
      </w:r>
    </w:p>
    <w:p>
      <w:r>
        <w:t>La responsabilité est limitée aux montants payés.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