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Coleman Group et Sanchez-Jimenez.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confidentiality</w:t>
      </w:r>
    </w:p>
    <w:p>
      <w:r>
        <w:t>Les informations confidentielles ne doivent pas être divulguées.</w:t>
      </w:r>
    </w:p>
    <w:p>
      <w:pPr>
        <w:pStyle w:val="Heading2"/>
      </w:pPr>
      <w:r>
        <w:t>Article 4 - liability</w:t>
      </w:r>
    </w:p>
    <w:p>
      <w:r>
        <w:t>La responsabilité est limitée aux montants payés.</w:t>
      </w:r>
    </w:p>
    <w:p>
      <w:pPr>
        <w:pStyle w:val="Heading2"/>
      </w:pPr>
      <w:r>
        <w:t>Article 5 - termination</w:t>
      </w:r>
    </w:p>
    <w:p>
      <w:r>
        <w:t>Chaque partie peut résilier le contrat en cas de manquement grave.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