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Bail Commercial</w:t>
      </w:r>
    </w:p>
    <w:p>
      <w:r>
        <w:t>Le présent contrat est conclu entre Bright Group et Jones, Barr and Rodriguez.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