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Davis Group et Rodriguez, Flynn and Bridges.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