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Le présent contrat est conclu entre Bright-Griffith et Bauer and Sons.</w:t>
      </w:r>
    </w:p>
    <w:p>
      <w:pPr>
        <w:pStyle w:val="Heading2"/>
      </w:pPr>
      <w:r>
        <w:t>Article 1 -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liability</w:t>
      </w:r>
    </w:p>
    <w:p>
      <w:r>
        <w:t>La responsabilité est limitée aux montants payés.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ip</w:t>
      </w:r>
    </w:p>
    <w:p>
      <w:r>
        <w:t>La propriété intellectuelle reste la propriété du Prestataire.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