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Castro Inc et Martinez, Richardson and Rivera.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