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Le présent contrat est conclu entre Riley Inc et Knapp, Garcia and Hunt.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payment</w:t>
      </w:r>
    </w:p>
    <w:p>
      <w:r>
        <w:t>Le Client doit payer les factures dans un délai de 30 jours.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