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Distribution</w:t>
      </w:r>
    </w:p>
    <w:p>
      <w:r>
        <w:t>Le présent contrat est conclu entre Wilkins, Davenport and Mack et Holmes Ltd.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