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Distribution</w:t>
      </w:r>
    </w:p>
    <w:p>
      <w:r>
        <w:t>Le présent contrat est conclu entre Lopez Inc et Kennedy-Washington.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