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Ford Group et Lopez, Conway and Robinson.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