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Johnson, Watson and Myers et Reed, Oneill and Ashley.</w:t>
      </w:r>
    </w:p>
    <w:p>
      <w:pPr>
        <w:pStyle w:val="Heading2"/>
      </w:pPr>
      <w:r>
        <w:t>Article 1 - ip</w:t>
      </w:r>
    </w:p>
    <w:p>
      <w:r>
        <w:t>La propriété intellectuelle reste la propriété du Prestataire.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