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Bradley, Cox and Henry et Shelton Ltd.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