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Carey PLC et Black, Brown and Morris.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