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Travail</w:t>
      </w:r>
    </w:p>
    <w:p>
      <w:r>
        <w:t>Le présent contrat est conclu entre Martinez and Sons et Townsend, Gonzalez and Wilson.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