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Pugh PLC et Williams-Washington.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