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Briggs Group et Mcmillan, Brady and Parks.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