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Clark Ltd et Guerra, Torres and Fisher.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