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licensing</w:t>
      </w:r>
    </w:p>
    <w:p>
      <w:r>
        <w:t>Le présent contrat est conclu entre Christian-Shah et Freeman-Dudley.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ip</w:t>
      </w:r>
    </w:p>
    <w:p>
      <w:r>
        <w:t>La propriété intellectuelle reste la propriété du Prestataire.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