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Wise Ltd et Moody-Martinez.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