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Prêt</w:t>
      </w:r>
    </w:p>
    <w:p>
      <w:r>
        <w:t>Le présent contrat est conclu entre Arias, Bradley and Frye et Travis-Diaz.</w:t>
      </w:r>
    </w:p>
    <w:p>
      <w:pPr>
        <w:pStyle w:val="Heading2"/>
      </w:pPr>
      <w:r>
        <w:t>Article 1 -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2 -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3 - payment</w:t>
      </w:r>
    </w:p>
    <w:p>
      <w:r>
        <w:t>Le Client doit payer les factures dans un délai de 30 jours.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liability</w:t>
      </w:r>
    </w:p>
    <w:p>
      <w:r>
        <w:t>La responsabilité est limitée aux montants payés.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