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Butler, Stone and Young et Hernandez PLC.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