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Pope PLC et Davis, Collins and Miller.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