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Le présent contrat est conclu entre Brown-Rivera et Thompson, Miller and Oconnor.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ip</w:t>
      </w:r>
    </w:p>
    <w:p>
      <w:r>
        <w:t>La propriété intellectuelle reste la propriété du Prestataire.</w:t>
      </w:r>
    </w:p>
    <w:p>
      <w:pPr>
        <w:pStyle w:val="Heading2"/>
      </w:pPr>
      <w:r>
        <w:t>Article 5 - payment</w:t>
      </w:r>
    </w:p>
    <w:p>
      <w:r>
        <w:t>Le Client doit payer les factures dans un délai de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