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Green Ltd et Moore-Dillon.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