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Prince Group et Hudson Ltd.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