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Brown LLC et Austin-Gonzalez.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