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nda</w:t>
      </w:r>
    </w:p>
    <w:p>
      <w:r>
        <w:t>Le présent contrat est conclu entre Perez and Sons et Davis LLC.</w:t>
      </w:r>
    </w:p>
    <w:p>
      <w:pPr>
        <w:pStyle w:val="Heading2"/>
      </w:pPr>
      <w:r>
        <w:t>Article 1 -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2 -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3 - ip</w:t>
      </w:r>
    </w:p>
    <w:p>
      <w:r>
        <w:t>La propriété intellectuelle reste la propriété du Prestataire.</w:t>
      </w:r>
    </w:p>
    <w:p>
      <w:pPr>
        <w:pStyle w:val="Heading2"/>
      </w:pPr>
      <w:r>
        <w:t>Article 4 - payment</w:t>
      </w:r>
    </w:p>
    <w:p>
      <w:r>
        <w:t>Le Client doit payer les factures dans un délai de 30 jours.</w:t>
      </w:r>
    </w:p>
    <w:p>
      <w:pPr>
        <w:pStyle w:val="Heading2"/>
      </w:pPr>
      <w:r>
        <w:t>Article 5 - liability</w:t>
      </w:r>
    </w:p>
    <w:p>
      <w:r>
        <w:t>La responsabilité est limitée aux montants payés.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