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Caldwell Inc et Parker Ltd.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