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Cobb Group et Clayton, Mullen and Myers.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