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Le présent contrat est conclu entre Burns-Middleton et Richardson, Grant and Sanchez.</w:t>
      </w:r>
    </w:p>
    <w:p>
      <w:pPr>
        <w:pStyle w:val="Heading2"/>
      </w:pPr>
      <w:r>
        <w:t>Article 1 -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2 - payment</w:t>
      </w:r>
    </w:p>
    <w:p>
      <w:r>
        <w:t>Le Client doit payer les factures dans un délai de 30 jours.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confidentiality</w:t>
      </w:r>
    </w:p>
    <w:p>
      <w:r>
        <w:t>Les informations confidentielles ne doivent pas être divulguées.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