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Lewis Group et Reed-Ramsey.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