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Waters Inc et Larson, Fletcher and Woodward.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