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SaaS</w:t>
      </w:r>
    </w:p>
    <w:p>
      <w:r>
        <w:t>Le présent contrat est conclu entre Austin, Cox and Ruiz et Edwards-Mckee.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