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Bell, Brown and Davis et Simmons Group.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