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Gallagher Ltd et Moore-Rodriguez.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