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SaaS</w:t>
      </w:r>
    </w:p>
    <w:p>
      <w:r>
        <w:t>Le présent contrat est conclu entre Mcclain, Melton and Davis et Erickson-Coleman.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