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Gardner-Osborne et Brown Group.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