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Anderson, Frost and Murphy et Cardenas Ltd.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