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Le présent contrat est conclu entre Velasquez, Harper and Davis et Ayers, Burke and Erickson.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