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Crawford Group et Reynolds, Morrison and Buchanan.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