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Le présent contrat est conclu entre Hess-Mason et King-Bryant.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