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Le présent contrat est conclu entre Smith, Russell and Galvan et Brooks-Mata.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