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عدم إفصاح وسرية متبادلة</w:t>
      </w:r>
    </w:p>
    <w:p>
      <w:pPr>
        <w:bidi/>
        <w:spacing w:after="160"/>
        <w:jc w:val="right"/>
      </w:pPr>
      <w:r>
        <w:rPr>
          <w:rtl/>
        </w:rPr>
        <w:t xml:space="preserve">أُبرمت اتفاقية عدم الإفصاح والسرية المتبادلة هذه ("الاتفاقية") بتاريخ 6 يوليو 2026، بين شركة Solace Robotics Inc.، وهي شركة تأسست بموجب قوانين ولاية ديلاوير ("الطرف المفصح" أو "الطرف المتلقي"، بحسب السياق)، وشركة Meridian Ventures LLC، وهي شركة ذات مسؤولية محدودة بموجب قوانين ولاية نيويورك ("الطرف المفصح" أو "الطرف المتلقي"، بحسب السياق)، ويشار إلى كل منهما بـ "طرف" ومجتمعين بـ "الطرفين"، وذلك في سياق تقييم استثمار محتمل وشراكة استراتيجية ("الغرض").</w:t>
      </w:r>
    </w:p>
    <w:p>
      <w:pPr>
        <w:bidi/>
        <w:spacing w:after="160"/>
        <w:jc w:val="right"/>
      </w:pPr>
      <w:r>
        <w:rPr>
          <w:b/>
          <w:bCs/>
          <w:rtl/>
        </w:rPr>
        <w:t xml:space="preserve">"المعلومات السرية"</w:t>
      </w:r>
      <w:r>
        <w:rPr>
          <w:rtl/>
        </w:rPr>
        <w:t xml:space="preserve"> تعني أي معلومات تقنية أو تجارية أو مالية أو استراتيجية يفصح عنها أي طرف، بما في ذلك تصاميم الروبوتات والشيفرة المصدرية ونماذج التسعير وبيانات هيكل رأس المال، بأي شكل كانت، سواء كانت موسومة كسرية أم لا، متى كان من شأن شخص معقول أن يفهم أنها سرية بالنظر إلى طبيعتها أو ظروف الإفصاح عنها.</w:t>
      </w:r>
    </w:p>
    <w:p>
      <w:pPr>
        <w:bidi/>
        <w:spacing w:after="160"/>
        <w:jc w:val="right"/>
      </w:pPr>
      <w:r>
        <w:rPr>
          <w:b/>
          <w:bCs/>
          <w:rtl/>
        </w:rPr>
        <w:t xml:space="preserve">"الممثلون"</w:t>
      </w:r>
      <w:r>
        <w:rPr>
          <w:rtl/>
        </w:rPr>
        <w:t xml:space="preserve"> تعني مسؤولي وأعضاء مجلس إدارة وموظفي والمستشارين المهنيين لأي طرف ممن لديهم حاجة مشروعة للاطلاع على المعلومات السرية لأغراض الغرض المحدد.</w:t>
      </w:r>
    </w:p>
    <w:p>
      <w:pPr>
        <w:pStyle w:val="Heading1"/>
        <w:bidi/>
        <w:spacing w:after="150" w:before="300"/>
        <w:jc w:val="right"/>
      </w:pPr>
      <w:r>
        <w:t xml:space="preserve">1. التزامات السرية</w:t>
      </w:r>
    </w:p>
    <w:p>
      <w:pPr>
        <w:bidi/>
        <w:spacing w:after="160"/>
        <w:jc w:val="right"/>
      </w:pPr>
      <w:r>
        <w:rPr>
          <w:rtl/>
        </w:rPr>
        <w:t xml:space="preserve">1.1 يلتزم كل طرف متلقٍ بالحفاظ على سرية المعلومات السرية للطرف المفصح بأقصى درجات الكتمان، وعدم الإفصاح عنها لأي طرف ثالث دون موافقة خطية مسبقة، باستثناء الممثلين الملتزمين بالتزامات سرية لا تقل حماية عن هذه الاتفاقية.</w:t>
      </w:r>
    </w:p>
    <w:p>
      <w:pPr>
        <w:bidi/>
        <w:spacing w:after="160"/>
        <w:jc w:val="right"/>
      </w:pPr>
      <w:r>
        <w:rPr>
          <w:rtl/>
        </w:rPr>
        <w:t xml:space="preserve">1.2 يلتزم كل طرف متلقٍ باستخدام المعلومات السرية حصراً لأغراض الغرض المحدد.</w:t>
      </w:r>
    </w:p>
    <w:p>
      <w:pPr>
        <w:pStyle w:val="Heading1"/>
        <w:bidi/>
        <w:spacing w:after="150" w:before="300"/>
        <w:jc w:val="right"/>
      </w:pPr>
      <w:r>
        <w:t xml:space="preserve">2. الاستثناءات</w:t>
      </w:r>
    </w:p>
    <w:p>
      <w:pPr>
        <w:bidi/>
        <w:spacing w:after="160"/>
        <w:jc w:val="right"/>
      </w:pPr>
      <w:r>
        <w:rPr>
          <w:rtl/>
        </w:rPr>
        <w:t xml:space="preserve">2.1 لا تشمل المعلومات السرية المعلومات التي: (أ) أصبحت متاحة للجمهور دون تقصير من الطرف المتلقي؛ (ب) كانت معروفة لدى الطرف المتلقي بشكل مشروع قبل الإفصاح عنها؛ (ج) طُورت بشكل مستقل دون استخدام المعلومات السرية؛ أو (د) وردت بشكل مشروع من طرف ثالث دون التزام بالسرية.</w:t>
      </w:r>
    </w:p>
    <w:p>
      <w:pPr>
        <w:pStyle w:val="Heading1"/>
        <w:bidi/>
        <w:spacing w:after="150" w:before="300"/>
        <w:jc w:val="right"/>
      </w:pPr>
      <w:r>
        <w:t xml:space="preserve">3. المدة والاستمرارية</w:t>
      </w:r>
    </w:p>
    <w:p>
      <w:pPr>
        <w:bidi/>
        <w:spacing w:after="160"/>
        <w:jc w:val="right"/>
      </w:pPr>
      <w:r>
        <w:rPr>
          <w:rtl/>
        </w:rPr>
        <w:t xml:space="preserve">3.1 تظل هذه الاتفاقية سارية المفعول لمدة سنتين (2) من تاريخ النفاذ. تستمر التزامات السرية المنصوص عليها هنا لمدة خمس (5) سنوات بعد الإفصاح عن المعلومات السرية المعنية، باستثناء الأسرار التجارية التي تستمر التزامات السرية بشأنها طالما ظلت تلك المعلومات سراً تجارياً بموجب القانون المعمول به.</w:t>
      </w:r>
    </w:p>
    <w:p>
      <w:pPr>
        <w:pStyle w:val="Heading1"/>
        <w:bidi/>
        <w:spacing w:after="150" w:before="300"/>
        <w:jc w:val="right"/>
      </w:pPr>
      <w:r>
        <w:t xml:space="preserve">4. عدم منح ترخيص أو ضمان</w:t>
      </w:r>
    </w:p>
    <w:p>
      <w:pPr>
        <w:bidi/>
        <w:spacing w:after="160"/>
        <w:jc w:val="right"/>
      </w:pPr>
      <w:r>
        <w:rPr>
          <w:rtl/>
        </w:rPr>
        <w:t xml:space="preserve">4.1 لا ينشئ شيء في هذه الاتفاقية أي ترخيص أو حق ملكية في المعلومات السرية. تُقدَّم جميع المعلومات السرية "كما هي" دون أي ضمان من أي نوع.</w:t>
      </w:r>
    </w:p>
    <w:p>
      <w:pPr>
        <w:pStyle w:val="Heading1"/>
        <w:bidi/>
        <w:spacing w:after="150" w:before="300"/>
        <w:jc w:val="right"/>
      </w:pPr>
      <w:r>
        <w:t xml:space="preserve">5. سبل الانتصاف</w:t>
      </w:r>
    </w:p>
    <w:p>
      <w:pPr>
        <w:bidi/>
        <w:spacing w:after="160"/>
        <w:jc w:val="right"/>
      </w:pPr>
      <w:r>
        <w:rPr>
          <w:rtl/>
        </w:rPr>
        <w:t xml:space="preserve">5.1 يقر كل طرف بأن الإفصاح غير المصرح به عن المعلومات السرية قد يسبب ضرراً لا يمكن جبره بالتعويض المالي وحده، وأن الطرف غير المخل يحق له طلب أمر قضائي بالإضافة إلى أي سبل انتصاف أخرى متاحة، دون الحاجة إلى تقديم كفالة.</w:t>
      </w:r>
    </w:p>
    <w:p>
      <w:pPr>
        <w:pStyle w:val="Heading1"/>
        <w:bidi/>
        <w:spacing w:after="150" w:before="300"/>
        <w:jc w:val="right"/>
      </w:pPr>
      <w:r>
        <w:t xml:space="preserve">6. القانون الواجب التطبيق وتسوية النزاعات</w:t>
      </w:r>
    </w:p>
    <w:p>
      <w:pPr>
        <w:bidi/>
        <w:spacing w:after="160"/>
        <w:jc w:val="right"/>
      </w:pPr>
      <w:r>
        <w:rPr>
          <w:rtl/>
        </w:rPr>
        <w:t xml:space="preserve">6.1 تخضع هذه الاتفاقية لقانون ولاية ديلاوير، دون اعتبار لمبادئ تنازع القوانين. يخضع أي نزاع ينشأ عن هذه الاتفاقية للاختصاص القضائي الحصري للمحاكم الولائية والفيدرالية الواقعة في ويلمنغتون، ديلاوير.</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Solace Robotics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Meridian Ventures LLC: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2026-07-08T12:06:47.749Z</dcterms:created>
  <dcterms:modified xsi:type="dcterms:W3CDTF">2026-07-08T12:06:47.765Z</dcterms:modified>
</cp:coreProperties>
</file>

<file path=docProps/custom.xml><?xml version="1.0" encoding="utf-8"?>
<Properties xmlns="http://schemas.openxmlformats.org/officeDocument/2006/custom-properties" xmlns:vt="http://schemas.openxmlformats.org/officeDocument/2006/docPropsVTypes"/>
</file>