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MASTER SERVICES AGREEMENT</w:t>
      </w:r>
    </w:p>
    <w:p>
      <w:pPr>
        <w:spacing w:after="120"/>
      </w:pPr>
      <w:r>
        <w:t xml:space="preserve">This Master Services Agreement (the "Agreement") is entered into as of July 6, 2026, by and between Helios Analytics Corp., a Delaware corporation (the "Provider"), and Brightline Retail Group Inc., a Nevada corporation (the "Client"). This Agreement establishes the general terms under which Provider will deliver services to Client pursuant to one or more Statements of Work ("SOWs").</w:t>
      </w:r>
    </w:p>
    <w:p>
      <w:pPr>
        <w:spacing w:after="120"/>
      </w:pPr>
      <w:r>
        <w:rPr>
          <w:b/>
          <w:bCs/>
        </w:rPr>
        <w:t xml:space="preserve">"Deliverables"</w:t>
      </w:r>
      <w:r>
        <w:t xml:space="preserve"> means the work product, reports, and materials specifically identified as deliverables in an applicable SOW.</w:t>
      </w:r>
    </w:p>
    <w:p>
      <w:pPr>
        <w:spacing w:after="120"/>
      </w:pPr>
      <w:r>
        <w:rPr>
          <w:b/>
          <w:bCs/>
        </w:rPr>
        <w:t xml:space="preserve">"Statement of Work"</w:t>
      </w:r>
      <w:r>
        <w:t xml:space="preserve"> means a document referencing this Agreement that describes specific services, fees, and timelines, executed by both Parties.</w:t>
      </w:r>
    </w:p>
    <w:p>
      <w:pPr>
        <w:pStyle w:val="Heading1"/>
        <w:spacing w:after="130" w:before="260"/>
      </w:pPr>
      <w:r>
        <w:t xml:space="preserve">1. SERVICES AND STATEMENTS OF WORK</w:t>
      </w:r>
    </w:p>
    <w:p>
      <w:pPr>
        <w:spacing w:after="120"/>
      </w:pPr>
      <w:r>
        <w:t xml:space="preserve">1.1 Provider shall perform the services described in each SOW in a professional and workmanlike manner consistent with generally accepted industry standards.</w:t>
      </w:r>
    </w:p>
    <w:p>
      <w:pPr>
        <w:spacing w:after="120"/>
      </w:pPr>
      <w:r>
        <w:t xml:space="preserve">1.2 In the event of a conflict between this Agreement and a SOW, this Agreement shall control unless the SOW expressly states an intent to override a specific provision.</w:t>
      </w:r>
    </w:p>
    <w:p>
      <w:pPr>
        <w:pStyle w:val="Heading1"/>
        <w:spacing w:after="130" w:before="260"/>
      </w:pPr>
      <w:r>
        <w:t xml:space="preserve">2. FEES AND PAYMENT</w:t>
      </w:r>
    </w:p>
    <w:p>
      <w:pPr>
        <w:spacing w:after="120"/>
      </w:pPr>
      <w:r>
        <w:t xml:space="preserve">2.1 Client shall pay all fees set forth in each SOW within forty-five (45) days of the invoice date. Any amount unpaid after sixty (60) days shall accrue interest at 1% per month.</w:t>
      </w:r>
    </w:p>
    <w:p>
      <w:pPr>
        <w:spacing w:after="120"/>
      </w:pPr>
      <w:r>
        <w:t xml:space="preserve">2.2 Provider reserves the right to unilaterally increase fees for any renewal term by up to fifteen percent (15%) upon thirty (30) days' written notice, without requiring Client's consent.</w:t>
      </w:r>
    </w:p>
    <w:p>
      <w:pPr>
        <w:pStyle w:val="Heading1"/>
        <w:spacing w:after="130" w:before="260"/>
      </w:pPr>
      <w:r>
        <w:t xml:space="preserve">3. INTELLECTUAL PROPERTY</w:t>
      </w:r>
    </w:p>
    <w:p>
      <w:pPr>
        <w:spacing w:after="120"/>
      </w:pPr>
      <w:r>
        <w:t xml:space="preserve">3.1 Provider retains all right, title, and interest in its pre-existing tools, methodologies, and know-how used to deliver the services.</w:t>
      </w:r>
    </w:p>
    <w:p>
      <w:pPr>
        <w:spacing w:after="120"/>
      </w:pPr>
      <w:r>
        <w:t xml:space="preserve">3.2 All Deliverables shall be deemed "work made for hire" and shall vest exclusively in Client upon full payment of the applicable fees.</w:t>
      </w:r>
    </w:p>
    <w:p>
      <w:pPr>
        <w:pStyle w:val="Heading1"/>
        <w:spacing w:after="130" w:before="260"/>
      </w:pPr>
      <w:r>
        <w:t xml:space="preserve">4. TERM AND TERMINATION</w:t>
      </w:r>
    </w:p>
    <w:p>
      <w:pPr>
        <w:spacing w:after="120"/>
      </w:pPr>
      <w:r>
        <w:t xml:space="preserve">4.1 This Agreement shall commence on the Effective Date and continue for an initial term of two (2) years, renewing automatically for successive one (1) year terms unless either Party provides ninety (90) days' written notice of non-renewal.</w:t>
      </w:r>
    </w:p>
    <w:p>
      <w:pPr>
        <w:spacing w:after="120"/>
      </w:pPr>
      <w:r>
        <w:t xml:space="preserve">4.2 Provider may terminate this Agreement or any SOW immediately, for any reason or no reason, upon written notice to Client. Client may terminate only for Provider's uncured material breach following sixty (60) days' written notice and opportunity to cure.</w:t>
      </w:r>
    </w:p>
    <w:p>
      <w:pPr>
        <w:pStyle w:val="Heading1"/>
        <w:spacing w:after="130" w:before="260"/>
      </w:pPr>
      <w:r>
        <w:t xml:space="preserve">5. LIMITATION OF LIABILITY</w:t>
      </w:r>
    </w:p>
    <w:p>
      <w:pPr>
        <w:spacing w:after="120"/>
      </w:pPr>
      <w:r>
        <w:t xml:space="preserve">5.1 EXCEPT FOR BREACHES OF CONFIDENTIALITY OR INDEMNIFICATION OBLIGATIONS, IN NO EVENT SHALL PROVIDER'S AGGREGATE LIABILITY EXCEED THE FEES PAID BY CLIENT IN THE THREE (3) MONTHS PRECEDING THE CLAIM. IN NO EVENT SHALL PROVIDER BE LIABLE FOR ANY INDIRECT, CONSEQUENTIAL, OR PUNITIVE DAMAGES, EVEN IF ADVISED OF THE POSSIBILITY THEREOF.</w:t>
      </w:r>
    </w:p>
    <w:p>
      <w:pPr>
        <w:pStyle w:val="Heading1"/>
        <w:spacing w:after="130" w:before="260"/>
      </w:pPr>
      <w:r>
        <w:t xml:space="preserve">6. DISPUTE RESOLUTION</w:t>
      </w:r>
    </w:p>
    <w:p>
      <w:pPr>
        <w:spacing w:after="120"/>
      </w:pPr>
      <w:r>
        <w:t xml:space="preserve">6.1 The Parties shall first attempt to resolve any dispute through good-faith negotiation between senior executives for thirty (30) days. Failing resolution, any dispute shall be finally resolved by binding arbitration administered by the American Arbitration Association under its Commercial Arbitration Rules, seated in Wilmington, Delaware, before a single arbitrator, in the English language.</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Helios Analytics Corp.:  ____________________________</w:t>
      </w:r>
    </w:p>
    <w:p>
      <w:pPr>
        <w:spacing w:after="120"/>
      </w:pPr>
      <w:r>
        <w:t xml:space="preserve">Name / Title:  ____________________________</w:t>
      </w:r>
    </w:p>
    <w:p>
      <w:pPr>
        <w:spacing w:after="260"/>
      </w:pPr>
    </w:p>
    <w:p>
      <w:pPr>
        <w:spacing w:after="120"/>
      </w:pPr>
      <w:r>
        <w:t xml:space="preserve">For Brightline Retail Group Inc.: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2026-07-08T11:16:19.153Z</dcterms:created>
  <dcterms:modified xsi:type="dcterms:W3CDTF">2026-07-08T11:16:19.153Z</dcterms:modified>
</cp:coreProperties>
</file>

<file path=docProps/custom.xml><?xml version="1.0" encoding="utf-8"?>
<Properties xmlns="http://schemas.openxmlformats.org/officeDocument/2006/custom-properties" xmlns:vt="http://schemas.openxmlformats.org/officeDocument/2006/docPropsVTypes"/>
</file>