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MANAGED CYBERSECURITY SERVICES AGREEMENT</w:t>
      </w:r>
    </w:p>
    <w:p>
      <w:pPr>
        <w:spacing w:after="120"/>
      </w:pPr>
      <w:r>
        <w:t xml:space="preserve">This Managed Cybersecurity Services Agreement (the "Agreement") is entered into as of July 6, 2026, between Obsidian Threat Defense LLC, a Delaware limited liability company ("Provider"), and Cascadia Regional Bank, a Washington state-chartered bank ("Client"), for the provision of managed detection and response, vulnerability management, and incident response services (the "Services").</w:t>
      </w:r>
    </w:p>
    <w:p>
      <w:pPr>
        <w:spacing w:after="120"/>
      </w:pPr>
      <w:r>
        <w:rPr>
          <w:b/>
          <w:bCs/>
        </w:rPr>
        <w:t xml:space="preserve">"Security Incident"</w:t>
      </w:r>
      <w:r>
        <w:t xml:space="preserve"> means any confirmed unauthorized access to, or acquisition, disclosure, alteration, or destruction of, Client's systems or data.</w:t>
      </w:r>
    </w:p>
    <w:p>
      <w:pPr>
        <w:spacing w:after="120"/>
      </w:pPr>
      <w:r>
        <w:rPr>
          <w:b/>
          <w:bCs/>
        </w:rPr>
        <w:t xml:space="preserve">"Critical Vulnerability"</w:t>
      </w:r>
      <w:r>
        <w:t xml:space="preserve"> means a vulnerability with a CVSS score of 9.0 or higher affecting Client's production environment.</w:t>
      </w:r>
    </w:p>
    <w:p>
      <w:pPr>
        <w:pStyle w:val="Heading1"/>
        <w:spacing w:after="130" w:before="260"/>
      </w:pPr>
      <w:r>
        <w:t xml:space="preserve">1. SCOPE OF SERVICES</w:t>
      </w:r>
    </w:p>
    <w:p>
      <w:pPr>
        <w:spacing w:after="120"/>
      </w:pPr>
      <w:r>
        <w:t xml:space="preserve">1.1 Provider shall deliver 24x7x365 security monitoring, threat detection, and incident response services as further described in Exhibit A, consistent with the NIST Cybersecurity Framework.</w:t>
      </w:r>
    </w:p>
    <w:p>
      <w:pPr>
        <w:pStyle w:val="Heading1"/>
        <w:spacing w:after="130" w:before="260"/>
      </w:pPr>
      <w:r>
        <w:t xml:space="preserve">2. INCIDENT RESPONSE AND NOTIFICATION</w:t>
      </w:r>
    </w:p>
    <w:p>
      <w:pPr>
        <w:spacing w:after="120"/>
      </w:pPr>
      <w:r>
        <w:t xml:space="preserve">2.1 Provider shall notify Client of any confirmed Security Incident within four (4) hours of confirmation, and of any Critical Vulnerability within twenty-four (24) hours of discovery.</w:t>
      </w:r>
    </w:p>
    <w:p>
      <w:pPr>
        <w:spacing w:after="120"/>
      </w:pPr>
      <w:r>
        <w:t xml:space="preserve">2.2 Provider shall provide a written root-cause analysis within five (5) business days following resolution of any Security Incident classified as high or critical severity.</w:t>
      </w:r>
    </w:p>
    <w:p>
      <w:pPr>
        <w:pStyle w:val="Heading1"/>
        <w:spacing w:after="130" w:before="260"/>
      </w:pPr>
      <w:r>
        <w:t xml:space="preserve">3. COMPLIANCE AND AUDIT</w:t>
      </w:r>
    </w:p>
    <w:p>
      <w:pPr>
        <w:spacing w:after="120"/>
      </w:pPr>
      <w:r>
        <w:t xml:space="preserve">3.1 Provider shall maintain SOC 2 Type II and ISO/IEC 27001 certification for the duration of this Agreement and shall provide current audit reports to Client upon request, no more than once per year.</w:t>
      </w:r>
    </w:p>
    <w:p>
      <w:pPr>
        <w:spacing w:after="120"/>
      </w:pPr>
      <w:r>
        <w:t xml:space="preserve">3.2 Client shall have the right, upon thirty (30) days' notice, to conduct an on-site security audit of Provider's facilities directly relevant to the Services, no more than once annually, at Client's expense.</w:t>
      </w:r>
    </w:p>
    <w:p>
      <w:pPr>
        <w:pStyle w:val="Heading1"/>
        <w:spacing w:after="130" w:before="260"/>
      </w:pPr>
      <w:r>
        <w:t xml:space="preserve">4. SUBCONTRACTORS AND SUBPROCESSORS</w:t>
      </w:r>
    </w:p>
    <w:p>
      <w:pPr>
        <w:spacing w:after="120"/>
      </w:pPr>
      <w:r>
        <w:t xml:space="preserve">4.1 Provider shall not engage a new subcontractor with access to Client systems or data without Client's prior written approval, which shall not be unreasonably withheld.</w:t>
      </w:r>
    </w:p>
    <w:p>
      <w:pPr>
        <w:pStyle w:val="Heading1"/>
        <w:spacing w:after="130" w:before="260"/>
      </w:pPr>
      <w:r>
        <w:t xml:space="preserve">5. LIABILITY AND INDEMNIFICATION</w:t>
      </w:r>
    </w:p>
    <w:p>
      <w:pPr>
        <w:spacing w:after="120"/>
      </w:pPr>
      <w:r>
        <w:t xml:space="preserve">5.1 Provider's aggregate liability for a Security Incident caused by Provider's failure to meet the service levels in Exhibit A shall not exceed three (3) times the annual fees paid by Client, and shall be uncapped in the event of Provider's gross negligence or willful misconduct.</w:t>
      </w:r>
    </w:p>
    <w:p>
      <w:pPr>
        <w:spacing w:after="120"/>
      </w:pPr>
      <w:r>
        <w:t xml:space="preserve">5.2 Provider shall indemnify Client for third-party claims, regulatory fines, and reasonable costs of credit monitoring and forensic investigation arising from a Security Incident attributable to Provider's breach of this Agreement.</w:t>
      </w:r>
    </w:p>
    <w:p>
      <w:pPr>
        <w:pStyle w:val="Heading1"/>
        <w:spacing w:after="130" w:before="260"/>
      </w:pPr>
      <w:r>
        <w:t xml:space="preserve">6. TERM AND TERMINATION</w:t>
      </w:r>
    </w:p>
    <w:p>
      <w:pPr>
        <w:spacing w:after="120"/>
      </w:pPr>
      <w:r>
        <w:t xml:space="preserve">6.1 This Agreement has an initial term of three (3) years. Either Party may terminate for the other's uncured material breach following thirty (30) days' written notice. Client may terminate immediately, without penalty, if Provider suffers a Security Incident affecting Client data caused by Provider's gross negligence.</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Obsidian Threat Defense LLC:  ____________________________</w:t>
      </w:r>
    </w:p>
    <w:p>
      <w:pPr>
        <w:spacing w:after="120"/>
      </w:pPr>
      <w:r>
        <w:t xml:space="preserve">Name / Title:  ____________________________</w:t>
      </w:r>
    </w:p>
    <w:p>
      <w:pPr>
        <w:spacing w:after="260"/>
      </w:pPr>
    </w:p>
    <w:p>
      <w:pPr>
        <w:spacing w:after="120"/>
      </w:pPr>
      <w:r>
        <w:t xml:space="preserve">For Cascadia Regional Bank: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2026-07-08T11:16:19.231Z</dcterms:created>
  <dcterms:modified xsi:type="dcterms:W3CDTF">2026-07-08T11:16:19.231Z</dcterms:modified>
</cp:coreProperties>
</file>

<file path=docProps/custom.xml><?xml version="1.0" encoding="utf-8"?>
<Properties xmlns="http://schemas.openxmlformats.org/officeDocument/2006/custom-properties" xmlns:vt="http://schemas.openxmlformats.org/officeDocument/2006/docPropsVTypes"/>
</file>