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300"/>
        <w:jc w:val="center"/>
      </w:pPr>
      <w:r>
        <w:t xml:space="preserve">اتفاقية خدمات الأمن السيبراني المُدارة</w:t>
      </w:r>
    </w:p>
    <w:p>
      <w:pPr>
        <w:bidi/>
        <w:spacing w:after="160"/>
        <w:jc w:val="right"/>
      </w:pPr>
      <w:r>
        <w:rPr>
          <w:rtl/>
        </w:rPr>
        <w:t xml:space="preserve">أُبرمت اتفاقية خدمات الأمن السيبراني المُدارة هذه ("الاتفاقية") بتاريخ 6 يوليو 2026، بين شركة Obsidian Threat Defense LLC، وهي شركة ذات مسؤولية محدودة بموجب قوانين ولاية ديلاوير ("المزود")، وبنك Cascadia Regional Bank، وهو بنك مرخص من ولاية واشنطن ("العميل")، لتقديم خدمات الكشف والاستجابة المُدارة وإدارة الثغرات والاستجابة للحوادث ("الخدمات").</w:t>
      </w:r>
    </w:p>
    <w:p>
      <w:pPr>
        <w:bidi/>
        <w:spacing w:after="160"/>
        <w:jc w:val="right"/>
      </w:pPr>
      <w:r>
        <w:rPr>
          <w:b/>
          <w:bCs/>
          <w:rtl/>
        </w:rPr>
        <w:t xml:space="preserve">"الحادث الأمني"</w:t>
      </w:r>
      <w:r>
        <w:rPr>
          <w:rtl/>
        </w:rPr>
        <w:t xml:space="preserve"> يعني أي وصول غير مصرح به مؤكد، أو اكتساب أو إفصاح أو تعديل أو إتلاف غير مصرح به، لأنظمة العميل أو بياناته.</w:t>
      </w:r>
    </w:p>
    <w:p>
      <w:pPr>
        <w:bidi/>
        <w:spacing w:after="160"/>
        <w:jc w:val="right"/>
      </w:pPr>
      <w:r>
        <w:rPr>
          <w:b/>
          <w:bCs/>
          <w:rtl/>
        </w:rPr>
        <w:t xml:space="preserve">"الثغرة الحرجة"</w:t>
      </w:r>
      <w:r>
        <w:rPr>
          <w:rtl/>
        </w:rPr>
        <w:t xml:space="preserve"> تعني ثغرة أمنية بدرجة CVSS تبلغ 9.0 أو أعلى تؤثر على بيئة الإنتاج لدى العميل.</w:t>
      </w:r>
    </w:p>
    <w:p>
      <w:pPr>
        <w:pStyle w:val="Heading1"/>
        <w:bidi/>
        <w:spacing w:after="150" w:before="300"/>
        <w:jc w:val="right"/>
      </w:pPr>
      <w:r>
        <w:t xml:space="preserve">1. نطاق الخدمات</w:t>
      </w:r>
    </w:p>
    <w:p>
      <w:pPr>
        <w:bidi/>
        <w:spacing w:after="160"/>
        <w:jc w:val="right"/>
      </w:pPr>
      <w:r>
        <w:rPr>
          <w:rtl/>
        </w:rPr>
        <w:t xml:space="preserve">1.1 يقدم المزود خدمات مراقبة أمنية وكشف تهديدات واستجابة للحوادث على مدار الساعة طوال أيام الأسبوع، على النحو الموصوف في الملحق أ، بما يتوافق مع إطار عمل الأمن السيبراني الصادر عن NIST.</w:t>
      </w:r>
    </w:p>
    <w:p>
      <w:pPr>
        <w:pStyle w:val="Heading1"/>
        <w:bidi/>
        <w:spacing w:after="150" w:before="300"/>
        <w:jc w:val="right"/>
      </w:pPr>
      <w:r>
        <w:t xml:space="preserve">2. الاستجابة للحوادث والإخطار</w:t>
      </w:r>
    </w:p>
    <w:p>
      <w:pPr>
        <w:bidi/>
        <w:spacing w:after="160"/>
        <w:jc w:val="right"/>
      </w:pPr>
      <w:r>
        <w:rPr>
          <w:rtl/>
        </w:rPr>
        <w:t xml:space="preserve">2.1 يخطر المزود العميل بأي حادث أمني مؤكد خلال أربع (4) ساعات من تأكيده، وبأي ثغرة حرجة خلال أربع وعشرين (24) ساعة من اكتشافها.</w:t>
      </w:r>
    </w:p>
    <w:p>
      <w:pPr>
        <w:bidi/>
        <w:spacing w:after="160"/>
        <w:jc w:val="right"/>
      </w:pPr>
      <w:r>
        <w:rPr>
          <w:rtl/>
        </w:rPr>
        <w:t xml:space="preserve">2.2 يقدم المزود تحليلاً خطياً للأسباب الجذرية خلال خمسة (5) أيام عمل من حل أي حادث أمني مصنف كخطير أو حرج.</w:t>
      </w:r>
    </w:p>
    <w:p>
      <w:pPr>
        <w:pStyle w:val="Heading1"/>
        <w:bidi/>
        <w:spacing w:after="150" w:before="300"/>
        <w:jc w:val="right"/>
      </w:pPr>
      <w:r>
        <w:t xml:space="preserve">3. الامتثال والتدقيق</w:t>
      </w:r>
    </w:p>
    <w:p>
      <w:pPr>
        <w:bidi/>
        <w:spacing w:after="160"/>
        <w:jc w:val="right"/>
      </w:pPr>
      <w:r>
        <w:rPr>
          <w:rtl/>
        </w:rPr>
        <w:t xml:space="preserve">3.1 يحافظ المزود على شهادتي SOC 2 Type II وISO/IEC 27001 طوال مدة هذه الاتفاقية، ويقدم للعميل تقارير التدقيق السارية عند الطلب، بحد أقصى مرة واحدة سنوياً.</w:t>
      </w:r>
    </w:p>
    <w:p>
      <w:pPr>
        <w:bidi/>
        <w:spacing w:after="160"/>
        <w:jc w:val="right"/>
      </w:pPr>
      <w:r>
        <w:rPr>
          <w:rtl/>
        </w:rPr>
        <w:t xml:space="preserve">3.2 يحق للعميل، بإشعار مدته ثلاثون (30) يوماً، إجراء تدقيق أمني ميداني لمرافق المزود ذات الصلة المباشرة بالخدمات، بحد أقصى مرة واحدة سنوياً، على نفقة العميل.</w:t>
      </w:r>
    </w:p>
    <w:p>
      <w:pPr>
        <w:pStyle w:val="Heading1"/>
        <w:bidi/>
        <w:spacing w:after="150" w:before="300"/>
        <w:jc w:val="right"/>
      </w:pPr>
      <w:r>
        <w:t xml:space="preserve">4. المقاولون من الباطن والمعالجون الفرعيون</w:t>
      </w:r>
    </w:p>
    <w:p>
      <w:pPr>
        <w:bidi/>
        <w:spacing w:after="160"/>
        <w:jc w:val="right"/>
      </w:pPr>
      <w:r>
        <w:rPr>
          <w:rtl/>
        </w:rPr>
        <w:t xml:space="preserve">4.1 لا يجوز للمزود التعاقد مع مقاول من الباطن جديد له إمكانية الوصول إلى أنظمة العميل أو بياناته دون موافقة خطية مسبقة من العميل، والتي لا يجوز حجبها دون سبب معقول.</w:t>
      </w:r>
    </w:p>
    <w:p>
      <w:pPr>
        <w:pStyle w:val="Heading1"/>
        <w:bidi/>
        <w:spacing w:after="150" w:before="300"/>
        <w:jc w:val="right"/>
      </w:pPr>
      <w:r>
        <w:t xml:space="preserve">5. المسؤولية والتعويض</w:t>
      </w:r>
    </w:p>
    <w:p>
      <w:pPr>
        <w:bidi/>
        <w:spacing w:after="160"/>
        <w:jc w:val="right"/>
      </w:pPr>
      <w:r>
        <w:rPr>
          <w:rtl/>
        </w:rPr>
        <w:t xml:space="preserve">5.1 لا تتجاوز المسؤولية الإجمالية للمزود عن حادث أمني ناتج عن عدم الوفاء بمستويات الخدمة المحددة في الملحق أ ثلاثة (3) أضعاف الرسوم السنوية المدفوعة من العميل، وتكون غير محدودة في حال الإهمال الجسيم أو سوء التصرف المتعمد من المزود.</w:t>
      </w:r>
    </w:p>
    <w:p>
      <w:pPr>
        <w:bidi/>
        <w:spacing w:after="160"/>
        <w:jc w:val="right"/>
      </w:pPr>
      <w:r>
        <w:rPr>
          <w:rtl/>
        </w:rPr>
        <w:t xml:space="preserve">5.2 يعوض المزود العميل عن مطالبات الأطراف الثالثة والغرامات التنظيمية والتكاليف المعقولة لمراقبة الائتمان والتحقيق الجنائي الناشئة عن حادث أمني يُعزى إلى إخلال المزود بهذه الاتفاقية.</w:t>
      </w:r>
    </w:p>
    <w:p>
      <w:pPr>
        <w:pStyle w:val="Heading1"/>
        <w:bidi/>
        <w:spacing w:after="150" w:before="300"/>
        <w:jc w:val="right"/>
      </w:pPr>
      <w:r>
        <w:t xml:space="preserve">6. المدة والإنهاء</w:t>
      </w:r>
    </w:p>
    <w:p>
      <w:pPr>
        <w:bidi/>
        <w:spacing w:after="160"/>
        <w:jc w:val="right"/>
      </w:pPr>
      <w:r>
        <w:rPr>
          <w:rtl/>
        </w:rPr>
        <w:t xml:space="preserve">6.1 مدة هذه الاتفاقية الأولية ثلاث (3) سنوات. يجوز لأي طرف الإنهاء في حال إخلال جوهري غير معالج من الطرف الآخر، بعد إشعار خطي مدته ثلاثون (30) يوماً. يجوز للعميل الإنهاء فوراً، دون غرامة، إذا تعرض المزود لحادث أمني يؤثر على بيانات العميل نتيجة إهماله الجسيم.</w:t>
      </w:r>
    </w:p>
    <w:p>
      <w:pPr>
        <w:pStyle w:val="Heading1"/>
        <w:bidi/>
        <w:spacing w:after="150" w:before="300"/>
        <w:jc w:val="right"/>
      </w:pPr>
      <w:r>
        <w:t xml:space="preserve">التوقيعات</w:t>
      </w:r>
    </w:p>
    <w:p>
      <w:pPr>
        <w:bidi/>
        <w:spacing w:after="160"/>
        <w:jc w:val="right"/>
      </w:pPr>
      <w:r>
        <w:rPr>
          <w:rtl/>
        </w:rPr>
        <w:t xml:space="preserve">وإثباتاً لما تقدم، وقّع الطرفان على هذه الاتفاقية بتاريخ النفاذ.</w:t>
      </w:r>
    </w:p>
    <w:p>
      <w:pPr>
        <w:spacing w:after="400"/>
      </w:pPr>
    </w:p>
    <w:p>
      <w:pPr>
        <w:bidi/>
        <w:spacing w:after="160"/>
        <w:jc w:val="right"/>
      </w:pPr>
      <w:r>
        <w:rPr>
          <w:rtl/>
        </w:rPr>
        <w:t xml:space="preserve">عن Obsidian Threat Defense LLC:  ____________________________</w:t>
      </w:r>
    </w:p>
    <w:p>
      <w:pPr>
        <w:bidi/>
        <w:spacing w:after="160"/>
        <w:jc w:val="right"/>
      </w:pPr>
      <w:r>
        <w:rPr>
          <w:rtl/>
        </w:rPr>
        <w:t xml:space="preserve">الاسم / الصفة:  ____________________________</w:t>
      </w:r>
    </w:p>
    <w:p>
      <w:pPr>
        <w:spacing w:after="300"/>
      </w:pPr>
    </w:p>
    <w:p>
      <w:pPr>
        <w:bidi/>
        <w:spacing w:after="160"/>
        <w:jc w:val="right"/>
      </w:pPr>
      <w:r>
        <w:rPr>
          <w:rtl/>
        </w:rPr>
        <w:t xml:space="preserve">عن Cascadia Regional Bank:  ____________________________</w:t>
      </w:r>
    </w:p>
    <w:p>
      <w:pPr>
        <w:bidi/>
        <w:spacing w:after="160"/>
        <w:jc w:val="right"/>
      </w:pPr>
      <w:r>
        <w:rPr>
          <w:rtl/>
        </w:rPr>
        <w:t xml:space="preserve">الاسم / الصفة: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2026-07-08T12:06:48.143Z</dcterms:created>
  <dcterms:modified xsi:type="dcterms:W3CDTF">2026-07-08T12:06:48.143Z</dcterms:modified>
</cp:coreProperties>
</file>

<file path=docProps/custom.xml><?xml version="1.0" encoding="utf-8"?>
<Properties xmlns="http://schemas.openxmlformats.org/officeDocument/2006/custom-properties" xmlns:vt="http://schemas.openxmlformats.org/officeDocument/2006/docPropsVTypes"/>
</file>