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ACCORD DE SERVICES DE CYBERSÉCURITÉ GÉRÉS</w:t>
      </w:r>
    </w:p>
    <w:p>
      <w:pPr>
        <w:spacing w:after="120"/>
      </w:pPr>
      <w:r>
        <w:t xml:space="preserve">Le présent Accord de Services de Cybersécurité Gérés (l'« Accord ») est conclu à la date du 6 juillet 2026, entre Obsidian Threat Defense LLC, une société à responsabilité limitée du Delaware (le « Prestataire »), et Cascadia Regional Bank, une banque agréée par l'État de Washington (le « Client »), pour la fourniture de services de détection et de réponse gérées, de gestion des vulnérabilités et de réponse aux incidents (les « Services »).</w:t>
      </w:r>
    </w:p>
    <w:p>
      <w:pPr>
        <w:spacing w:after="120"/>
      </w:pPr>
      <w:r>
        <w:rPr>
          <w:b/>
          <w:bCs/>
        </w:rPr>
        <w:t xml:space="preserve">« Incident de Sécurité »</w:t>
      </w:r>
      <w:r>
        <w:t xml:space="preserve"> désigne tout accès non autorisé confirmé, ou toute acquisition, divulgation, altération ou destruction non autorisée, des systèmes ou données du Client.</w:t>
      </w:r>
    </w:p>
    <w:p>
      <w:pPr>
        <w:spacing w:after="120"/>
      </w:pPr>
      <w:r>
        <w:rPr>
          <w:b/>
          <w:bCs/>
        </w:rPr>
        <w:t xml:space="preserve">« Vulnérabilité Critique »</w:t>
      </w:r>
      <w:r>
        <w:t xml:space="preserve"> désigne une vulnérabilité avec un score CVSS de 9,0 ou supérieur affectant l'environnement de production du Client.</w:t>
      </w:r>
    </w:p>
    <w:p>
      <w:pPr>
        <w:pStyle w:val="Heading1"/>
        <w:spacing w:after="130" w:before="260"/>
      </w:pPr>
      <w:r>
        <w:t xml:space="preserve">1. ÉTENDUE DES SERVICES</w:t>
      </w:r>
    </w:p>
    <w:p>
      <w:pPr>
        <w:spacing w:after="120"/>
      </w:pPr>
      <w:r>
        <w:t xml:space="preserve">1.1 Le Prestataire fournira une surveillance de sécurité, une détection des menaces et des services de réponse aux incidents 24 heures sur 24, 7 jours sur 7, tels que décrits à l'Annexe A, conformément au Cadre de Cybersécurité du NIST.</w:t>
      </w:r>
    </w:p>
    <w:p>
      <w:pPr>
        <w:pStyle w:val="Heading1"/>
        <w:spacing w:after="130" w:before="260"/>
      </w:pPr>
      <w:r>
        <w:t xml:space="preserve">2. RÉPONSE AUX INCIDENTS ET NOTIFICATION</w:t>
      </w:r>
    </w:p>
    <w:p>
      <w:pPr>
        <w:spacing w:after="120"/>
      </w:pPr>
      <w:r>
        <w:t xml:space="preserve">2.1 Le Prestataire notifiera le Client de tout Incident de Sécurité confirmé dans un délai de quatre (4) heures suivant sa confirmation, et de toute Vulnérabilité Critique dans un délai de vingt-quatre (24) heures suivant sa découverte.</w:t>
      </w:r>
    </w:p>
    <w:p>
      <w:pPr>
        <w:spacing w:after="120"/>
      </w:pPr>
      <w:r>
        <w:t xml:space="preserve">2.2 Le Prestataire fournira une analyse écrite des causes profondes dans un délai de cinq (5) jours ouvrés suivant la résolution de tout Incident de Sécurité classé comme grave ou critique.</w:t>
      </w:r>
    </w:p>
    <w:p>
      <w:pPr>
        <w:pStyle w:val="Heading1"/>
        <w:spacing w:after="130" w:before="260"/>
      </w:pPr>
      <w:r>
        <w:t xml:space="preserve">3. CONFORMITÉ ET AUDIT</w:t>
      </w:r>
    </w:p>
    <w:p>
      <w:pPr>
        <w:spacing w:after="120"/>
      </w:pPr>
      <w:r>
        <w:t xml:space="preserve">3.1 Le Prestataire maintiendra les certifications SOC 2 Type II et ISO/IEC 27001 pendant toute la durée du présent Accord et fournira au Client les rapports d'audit en vigueur sur demande, au maximum une fois par an.</w:t>
      </w:r>
    </w:p>
    <w:p>
      <w:pPr>
        <w:spacing w:after="120"/>
      </w:pPr>
      <w:r>
        <w:t xml:space="preserve">3.2 Le Client aura le droit, moyennant un préavis de trente (30) jours, de procéder à un audit de sécurité sur site des installations du Prestataire directement pertinentes pour les Services, au maximum une fois par an, aux frais du Client.</w:t>
      </w:r>
    </w:p>
    <w:p>
      <w:pPr>
        <w:pStyle w:val="Heading1"/>
        <w:spacing w:after="130" w:before="260"/>
      </w:pPr>
      <w:r>
        <w:t xml:space="preserve">4. SOUS-TRAITANTS ET SOUS-TRAITANTS ULTÉRIEURS</w:t>
      </w:r>
    </w:p>
    <w:p>
      <w:pPr>
        <w:spacing w:after="120"/>
      </w:pPr>
      <w:r>
        <w:t xml:space="preserve">4.1 Le Prestataire ne fera appel à un nouveau sous-traitant ayant accès aux systèmes ou données du Client sans l'approbation écrite préalable du Client, laquelle ne pourra être refusée sans motif raisonnable.</w:t>
      </w:r>
    </w:p>
    <w:p>
      <w:pPr>
        <w:pStyle w:val="Heading1"/>
        <w:spacing w:after="130" w:before="260"/>
      </w:pPr>
      <w:r>
        <w:t xml:space="preserve">5. RESPONSABILITÉ ET INDEMNISATION</w:t>
      </w:r>
    </w:p>
    <w:p>
      <w:pPr>
        <w:spacing w:after="120"/>
      </w:pPr>
      <w:r>
        <w:t xml:space="preserve">5.1 La responsabilité globale du Prestataire pour un Incident de Sécurité résultant du non-respect des niveaux de service prévus à l'Annexe A n'excédera pas trois (3) fois les honoraires annuels payés par le Client, et sera illimitée en cas de négligence grave ou de faute intentionnelle du Prestataire.</w:t>
      </w:r>
    </w:p>
    <w:p>
      <w:pPr>
        <w:spacing w:after="120"/>
      </w:pPr>
      <w:r>
        <w:t xml:space="preserve">5.2 Le Prestataire indemnisera le Client au titre des réclamations de tiers, amendes réglementaires et coûts raisonnables de surveillance de crédit et d'enquête judiciaire résultant d'un Incident de Sécurité imputable à une violation du présent Accord par le Prestataire.</w:t>
      </w:r>
    </w:p>
    <w:p>
      <w:pPr>
        <w:pStyle w:val="Heading1"/>
        <w:spacing w:after="130" w:before="260"/>
      </w:pPr>
      <w:r>
        <w:t xml:space="preserve">6. DURÉE ET RÉSILIATION</w:t>
      </w:r>
    </w:p>
    <w:p>
      <w:pPr>
        <w:spacing w:after="120"/>
      </w:pPr>
      <w:r>
        <w:t xml:space="preserve">6.1 Le présent Accord a une durée initiale de trois (3) ans. Chaque Partie pourra résilier en cas de manquement substantiel non corrigé de l'autre Partie, après un préavis écrit de trente (30) jours. Le Client pourra résilier immédiatement, sans pénalité, si le Prestataire subit un Incident de Sécurité affectant les données du Client résultant de sa négligence grave.</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Obsidian Threat Defense LLC :  ____________________________</w:t>
      </w:r>
    </w:p>
    <w:p>
      <w:pPr>
        <w:spacing w:after="120"/>
      </w:pPr>
      <w:r>
        <w:t xml:space="preserve">Nom / Fonction :  ____________________________</w:t>
      </w:r>
    </w:p>
    <w:p>
      <w:pPr>
        <w:spacing w:after="260"/>
      </w:pPr>
    </w:p>
    <w:p>
      <w:pPr>
        <w:spacing w:after="120"/>
      </w:pPr>
      <w:r>
        <w:t xml:space="preserve">Pour Cascadia Regional Bank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2026-07-08T11:40:09.465Z</dcterms:created>
  <dcterms:modified xsi:type="dcterms:W3CDTF">2026-07-08T11:40:09.465Z</dcterms:modified>
</cp:coreProperties>
</file>

<file path=docProps/custom.xml><?xml version="1.0" encoding="utf-8"?>
<Properties xmlns="http://schemas.openxmlformats.org/officeDocument/2006/custom-properties" xmlns:vt="http://schemas.openxmlformats.org/officeDocument/2006/docPropsVTypes"/>
</file>