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معالجة البيانات</w:t>
      </w:r>
    </w:p>
    <w:p>
      <w:pPr>
        <w:bidi/>
        <w:spacing w:after="160"/>
        <w:jc w:val="right"/>
      </w:pPr>
      <w:r>
        <w:rPr>
          <w:rtl/>
        </w:rPr>
        <w:t xml:space="preserve">أُبرمت اتفاقية معالجة البيانات هذه ("الاتفاقية") بتاريخ 6 يوليو 2026، بين شركة Kestrel HR Technologies GmbH، وهي شركة منظمة بموجب القانون الألماني ("المعالج")، وشركة Alderbrook Manufacturing PLC، وهي شركة منظمة بموجب قانون إنجلترا وويلز ("المتحكم")، وتُكمل اتفاقية الخدمات الأساسية بين الطرفين لمعالجة البيانات الشخصية للموظفين من قبل المعالج نيابة عن المتحكم.</w:t>
      </w:r>
    </w:p>
    <w:p>
      <w:pPr>
        <w:bidi/>
        <w:spacing w:after="160"/>
        <w:jc w:val="right"/>
      </w:pPr>
      <w:r>
        <w:rPr>
          <w:b/>
          <w:bCs/>
          <w:rtl/>
        </w:rPr>
        <w:t xml:space="preserve">"البيانات الشخصية"</w:t>
      </w:r>
      <w:r>
        <w:rPr>
          <w:rtl/>
        </w:rPr>
        <w:t xml:space="preserve"> لها المعنى المحدد في اللائحة الأوروبية 2016/679 ("اللائحة العامة لحماية البيانات") وتشمل أي معلومات تتعلق بشخص طبيعي محدد الهوية أو يمكن تحديد هويته تتم معالجتها بموجب هذه الاتفاقية.</w:t>
      </w:r>
    </w:p>
    <w:p>
      <w:pPr>
        <w:bidi/>
        <w:spacing w:after="160"/>
        <w:jc w:val="right"/>
      </w:pPr>
      <w:r>
        <w:rPr>
          <w:b/>
          <w:bCs/>
          <w:rtl/>
        </w:rPr>
        <w:t xml:space="preserve">"المعالج الفرعي"</w:t>
      </w:r>
      <w:r>
        <w:rPr>
          <w:rtl/>
        </w:rPr>
        <w:t xml:space="preserve"> يعني أي طرف ثالث يستعين به المعالج لمعالجة البيانات الشخصية نيابة عن المتحكم.</w:t>
      </w:r>
    </w:p>
    <w:p>
      <w:pPr>
        <w:pStyle w:val="Heading1"/>
        <w:bidi/>
        <w:spacing w:after="150" w:before="300"/>
        <w:jc w:val="right"/>
      </w:pPr>
      <w:r>
        <w:t xml:space="preserve">1. تعليمات المعالجة</w:t>
      </w:r>
    </w:p>
    <w:p>
      <w:pPr>
        <w:bidi/>
        <w:spacing w:after="160"/>
        <w:jc w:val="right"/>
      </w:pPr>
      <w:r>
        <w:rPr>
          <w:rtl/>
        </w:rPr>
        <w:t xml:space="preserve">1.1 لا يعالج المعالج البيانات الشخصية إلا بناءً على تعليمات موثقة من المتحكم، بما في ذلك ما يتعلق بالنقل إلى دولة ثالثة، ما لم يقتضِ القانون المعمول به خلاف ذلك.</w:t>
      </w:r>
    </w:p>
    <w:p>
      <w:pPr>
        <w:pStyle w:val="Heading1"/>
        <w:bidi/>
        <w:spacing w:after="150" w:before="300"/>
        <w:jc w:val="right"/>
      </w:pPr>
      <w:r>
        <w:t xml:space="preserve">2. سرية الموظفين</w:t>
      </w:r>
    </w:p>
    <w:p>
      <w:pPr>
        <w:bidi/>
        <w:spacing w:after="160"/>
        <w:jc w:val="right"/>
      </w:pPr>
      <w:r>
        <w:rPr>
          <w:rtl/>
        </w:rPr>
        <w:t xml:space="preserve">2.1 يضمن المعالج التزام الأشخاص المصرح لهم بمعالجة البيانات الشخصية بالسرية أو خضوعهم لالتزام قانوني مناسب بالسرية.</w:t>
      </w:r>
    </w:p>
    <w:p>
      <w:pPr>
        <w:pStyle w:val="Heading1"/>
        <w:bidi/>
        <w:spacing w:after="150" w:before="300"/>
        <w:jc w:val="right"/>
      </w:pPr>
      <w:r>
        <w:t xml:space="preserve">3. المعالجون الفرعيون</w:t>
      </w:r>
    </w:p>
    <w:p>
      <w:pPr>
        <w:bidi/>
        <w:spacing w:after="160"/>
        <w:jc w:val="right"/>
      </w:pPr>
      <w:r>
        <w:rPr>
          <w:rtl/>
        </w:rPr>
        <w:t xml:space="preserve">3.1 لا يجوز للمعالج الاستعانة بمعالج فرعي دون تفويض خطي مسبق، محدد أو عام، من المتحكم. في حالة التفويض العام، يُخطر المعالج المتحكم بأي تغييرات مقترحة تتعلق بإضافة أو استبدال المعالجين الفرعيين، مع منح المتحكم فرصة الاعتراض خلال أربعة عشر (14) يوماً.</w:t>
      </w:r>
    </w:p>
    <w:p>
      <w:pPr>
        <w:pStyle w:val="Heading1"/>
        <w:bidi/>
        <w:spacing w:after="150" w:before="300"/>
        <w:jc w:val="right"/>
      </w:pPr>
      <w:r>
        <w:t xml:space="preserve">4. التدابير الأمنية</w:t>
      </w:r>
    </w:p>
    <w:p>
      <w:pPr>
        <w:bidi/>
        <w:spacing w:after="160"/>
        <w:jc w:val="right"/>
      </w:pPr>
      <w:r>
        <w:rPr>
          <w:rtl/>
        </w:rPr>
        <w:t xml:space="preserve">4.1 ينفذ المعالج تدابير تقنية وتنظيمية مناسبة لضمان مستوى أمان يتناسب مع المخاطر، بما في ذلك إخفاء الهوية وتشفير البيانات الشخصية عند الاقتضاء.</w:t>
      </w:r>
    </w:p>
    <w:p>
      <w:pPr>
        <w:pStyle w:val="Heading1"/>
        <w:bidi/>
        <w:spacing w:after="150" w:before="300"/>
        <w:jc w:val="right"/>
      </w:pPr>
      <w:r>
        <w:t xml:space="preserve">5. المساعدة في حقوق أصحاب البيانات</w:t>
      </w:r>
    </w:p>
    <w:p>
      <w:pPr>
        <w:bidi/>
        <w:spacing w:after="160"/>
        <w:jc w:val="right"/>
      </w:pPr>
      <w:r>
        <w:rPr>
          <w:rtl/>
        </w:rPr>
        <w:t xml:space="preserve">5.1 يساعد المعالج المتحكم، قدر الإمكان، في الوفاء بالتزامه بالرد على طلبات ممارسة حقوق أصحاب البيانات، ويخطر المتحكم دون تأخير غير مبرر إذا تلقى مثل هذا الطلب مباشرة.</w:t>
      </w:r>
    </w:p>
    <w:p>
      <w:pPr>
        <w:pStyle w:val="Heading1"/>
        <w:bidi/>
        <w:spacing w:after="150" w:before="300"/>
        <w:jc w:val="right"/>
      </w:pPr>
      <w:r>
        <w:t xml:space="preserve">6. الإخطار بخرق البيانات الشخصية</w:t>
      </w:r>
    </w:p>
    <w:p>
      <w:pPr>
        <w:bidi/>
        <w:spacing w:after="160"/>
        <w:jc w:val="right"/>
      </w:pPr>
      <w:r>
        <w:rPr>
          <w:rtl/>
        </w:rPr>
        <w:t xml:space="preserve">6.1 يخطر المعالج المتحكم، دون تأخير غير مبرر وفي جميع الأحوال خلال ثمانٍ وأربعين (48) ساعة، بأي خرق للبيانات الشخصية يعلم به، ويقدم مساعدة معقولة للمتحكم للوفاء بالتزاماته بإخطار السلطات الرقابية وأصحاب البيانات المتأثرين.</w:t>
      </w:r>
    </w:p>
    <w:p>
      <w:pPr>
        <w:pStyle w:val="Heading1"/>
        <w:bidi/>
        <w:spacing w:after="150" w:before="300"/>
        <w:jc w:val="right"/>
      </w:pPr>
      <w:r>
        <w:t xml:space="preserve">7. حذف البيانات وإعادتها</w:t>
      </w:r>
    </w:p>
    <w:p>
      <w:pPr>
        <w:bidi/>
        <w:spacing w:after="160"/>
        <w:jc w:val="right"/>
      </w:pPr>
      <w:r>
        <w:rPr>
          <w:rtl/>
        </w:rPr>
        <w:t xml:space="preserve">7.1 وفقاً لاختيار المتحكم، عند إنهاء اتفاقية الخدمات الأساسية، يحذف المعالج أو يعيد جميع البيانات الشخصية إلى المتحكم ويحذف النسخ الموجودة، ما لم يقتضِ القانون المعمول به الاحتفاظ بها.</w:t>
      </w:r>
    </w:p>
    <w:p>
      <w:pPr>
        <w:pStyle w:val="Heading1"/>
        <w:bidi/>
        <w:spacing w:after="150" w:before="300"/>
        <w:jc w:val="right"/>
      </w:pPr>
      <w:r>
        <w:t xml:space="preserve">8. حق التدقيق</w:t>
      </w:r>
    </w:p>
    <w:p>
      <w:pPr>
        <w:bidi/>
        <w:spacing w:after="160"/>
        <w:jc w:val="right"/>
      </w:pPr>
      <w:r>
        <w:rPr>
          <w:rtl/>
        </w:rPr>
        <w:t xml:space="preserve">8.1 يتيح المعالج للمتحكم جميع المعلومات اللازمة لإثبات الامتثال لهذه الاتفاقية، ويسمح بإجراء عمليات التدقيق، بما في ذلك التفتيش، من قبل المتحكم أو مدقق مفوض من قبله، بحد أقصى مرة واحدة سنوياً في غياب خرق للبيانات الشخصية.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Kestrel HR Technologies GmbH: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Alderbrook Manufacturing PLC: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2026-07-08T12:06:48.185Z</dcterms:created>
  <dcterms:modified xsi:type="dcterms:W3CDTF">2026-07-08T12:06:48.185Z</dcterms:modified>
</cp:coreProperties>
</file>

<file path=docProps/custom.xml><?xml version="1.0" encoding="utf-8"?>
<Properties xmlns="http://schemas.openxmlformats.org/officeDocument/2006/custom-properties" xmlns:vt="http://schemas.openxmlformats.org/officeDocument/2006/docPropsVTypes"/>
</file>