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ترخيص برمجيات وإتاوات</w:t>
      </w:r>
    </w:p>
    <w:p>
      <w:pPr>
        <w:bidi/>
        <w:spacing w:after="160"/>
        <w:jc w:val="right"/>
      </w:pPr>
      <w:r>
        <w:rPr>
          <w:rtl/>
        </w:rPr>
        <w:t xml:space="preserve">أُبرمت اتفاقية ترخيص البرمجيات والإتاوات هذه ("الاتفاقية") بتاريخ 6 يوليو 2026، بين شركة Quanta Vision Labs Inc.، وهي شركة تأسست بموجب قوانين ولاية ديلاوير ("المرخِّص")، وشركة Sable Optics Manufacturing Co., Ltd.، وهي شركة منظمة بموجب قوانين تايوان ("المرخَّص له")، بموجبها يمنح المرخِّص المرخَّص له ترخيصاً لدمج برنامج الرؤية الحاسوبية الخاص به ("البرنامج المرخَّص") في منتجات الكاميرات لدى المرخَّص له.</w:t>
      </w:r>
    </w:p>
    <w:p>
      <w:pPr>
        <w:bidi/>
        <w:spacing w:after="160"/>
        <w:jc w:val="right"/>
      </w:pPr>
      <w:r>
        <w:rPr>
          <w:b/>
          <w:bCs/>
          <w:rtl/>
        </w:rPr>
        <w:t xml:space="preserve">"المنتجات المرخَّصة"</w:t>
      </w:r>
      <w:r>
        <w:rPr>
          <w:rtl/>
        </w:rPr>
        <w:t xml:space="preserve"> تعني منتجات الكاميرات المادية للمرخَّص له التي يُدمج فيها البرنامج المرخَّص ويُوزَّع على العملاء النهائيين.</w:t>
      </w:r>
    </w:p>
    <w:p>
      <w:pPr>
        <w:bidi/>
        <w:spacing w:after="160"/>
        <w:jc w:val="right"/>
      </w:pPr>
      <w:r>
        <w:rPr>
          <w:b/>
          <w:bCs/>
          <w:rtl/>
        </w:rPr>
        <w:t xml:space="preserve">"صافي المبيعات"</w:t>
      </w:r>
      <w:r>
        <w:rPr>
          <w:rtl/>
        </w:rPr>
        <w:t xml:space="preserve"> يعني إجمالي الإيرادات التي يحصل عليها المرخَّص له من بيع المنتجات المرخَّصة، مخصوماً منها المرتجعات والائتمانات والضرائب المعمول بها.</w:t>
      </w:r>
    </w:p>
    <w:p>
      <w:pPr>
        <w:pStyle w:val="Heading1"/>
        <w:bidi/>
        <w:spacing w:after="150" w:before="300"/>
        <w:jc w:val="right"/>
      </w:pPr>
      <w:r>
        <w:t xml:space="preserve">1. منح الترخيص</w:t>
      </w:r>
    </w:p>
    <w:p>
      <w:pPr>
        <w:bidi/>
        <w:spacing w:after="160"/>
        <w:jc w:val="right"/>
      </w:pPr>
      <w:r>
        <w:rPr>
          <w:rtl/>
        </w:rPr>
        <w:t xml:space="preserve">1.1 يمنح المرخِّص المرخَّص له ترخيصاً غير حصري وغير قابل للتحويل وعالمياً لدمج البرنامج المرخَّص وإعادة إنتاجه وتوزيعه فقط كجزء مدمج في المنتجات المرخَّصة، طوال المدة.</w:t>
      </w:r>
    </w:p>
    <w:p>
      <w:pPr>
        <w:bidi/>
        <w:spacing w:after="160"/>
        <w:jc w:val="right"/>
      </w:pPr>
      <w:r>
        <w:rPr>
          <w:rtl/>
        </w:rPr>
        <w:t xml:space="preserve">1.2 لا يجوز للمرخَّص له إجراء هندسة عكسية أو فك تجميع أو إنشاء مصنفات مشتقة من البرنامج المرخَّص، إلا بالقدر الذي يكون فيه هذا القيد غير قابل للتنفيذ بموجب القانون المعمول به.</w:t>
      </w:r>
    </w:p>
    <w:p>
      <w:pPr>
        <w:pStyle w:val="Heading1"/>
        <w:bidi/>
        <w:spacing w:after="150" w:before="300"/>
        <w:jc w:val="right"/>
      </w:pPr>
      <w:r>
        <w:t xml:space="preserve">2. الإتاوات</w:t>
      </w:r>
    </w:p>
    <w:p>
      <w:pPr>
        <w:bidi/>
        <w:spacing w:after="160"/>
        <w:jc w:val="right"/>
      </w:pPr>
      <w:r>
        <w:rPr>
          <w:rtl/>
        </w:rPr>
        <w:t xml:space="preserve">2.1 يدفع المرخَّص له للمرخِّص إتاوة قدرها 4.5% من صافي المبيعات للمنتجات المرخَّصة، تُدفع ربع سنوياً، مع تقرير إتاوات يفصّل الوحدات المباعة وصافي المبيعات.</w:t>
      </w:r>
    </w:p>
    <w:p>
      <w:pPr>
        <w:bidi/>
        <w:spacing w:after="160"/>
        <w:jc w:val="right"/>
      </w:pPr>
      <w:r>
        <w:rPr>
          <w:rtl/>
        </w:rPr>
        <w:t xml:space="preserve">2.2 يحق للمرخِّص، بإشعار مدته ثلاثون (30) يوماً، تدقيق دفاتر وسجلات المرخَّص له المتعلقة بحساب الإتاوات، بحد أقصى مرة واحدة سنوياً؛ وإذا كشف التدقيق عن نقص في السداد يتجاوز خمسة بالمائة (5%)، يتحمل المرخَّص له التكلفة المعقولة للتدقيق.</w:t>
      </w:r>
    </w:p>
    <w:p>
      <w:pPr>
        <w:pStyle w:val="Heading1"/>
        <w:bidi/>
        <w:spacing w:after="150" w:before="300"/>
        <w:jc w:val="right"/>
      </w:pPr>
      <w:r>
        <w:t xml:space="preserve">3. ملكية الملكية الفكرية</w:t>
      </w:r>
    </w:p>
    <w:p>
      <w:pPr>
        <w:bidi/>
        <w:spacing w:after="160"/>
        <w:jc w:val="right"/>
      </w:pPr>
      <w:r>
        <w:rPr>
          <w:rtl/>
        </w:rPr>
        <w:t xml:space="preserve">3.1 يحتفظ المرخِّص بكامل الحقوق في البرنامج المرخَّص، بما في ذلك جميع التعديلات والتحسينات، سواء أجراها المرخِّص أو المرخَّص له.</w:t>
      </w:r>
    </w:p>
    <w:p>
      <w:pPr>
        <w:pStyle w:val="Heading1"/>
        <w:bidi/>
        <w:spacing w:after="150" w:before="300"/>
        <w:jc w:val="right"/>
      </w:pPr>
      <w:r>
        <w:t xml:space="preserve">4. الضمان وإخلاء المسؤولية</w:t>
      </w:r>
    </w:p>
    <w:p>
      <w:pPr>
        <w:bidi/>
        <w:spacing w:after="160"/>
        <w:jc w:val="right"/>
      </w:pPr>
      <w:r>
        <w:rPr>
          <w:rtl/>
        </w:rPr>
        <w:t xml:space="preserve">4.1 يضمن المرخِّص أنه يملك الحق في منح الترخيص الوارد هنا. باستثناء ما هو منصوص عليه صراحة، يُقدَّم البرنامج المرخَّص "كما هو" دون أي ضمان من أي نوع، صريح أو ضمني، بما في ذلك ضمانات القابلية للتسويق أو الملاءمة لغرض معين.</w:t>
      </w:r>
    </w:p>
    <w:p>
      <w:pPr>
        <w:pStyle w:val="Heading1"/>
        <w:bidi/>
        <w:spacing w:after="150" w:before="300"/>
        <w:jc w:val="right"/>
      </w:pPr>
      <w:r>
        <w:t xml:space="preserve">5. المدة والإنهاء</w:t>
      </w:r>
    </w:p>
    <w:p>
      <w:pPr>
        <w:bidi/>
        <w:spacing w:after="160"/>
        <w:jc w:val="right"/>
      </w:pPr>
      <w:r>
        <w:rPr>
          <w:rtl/>
        </w:rPr>
        <w:t xml:space="preserve">5.1 تستمر هذه الاتفاقية لمدة خمس (5) سنوات من تاريخ النفاذ. يجوز للمرخِّص إنهاء هذه الاتفاقية فوراً إذا لم يسدد المرخَّص له الإتاوات المستحقة ولم يعالج هذا التقصير خلال خمسة عشر (15) يوماً من إشعار خطي.</w:t>
      </w:r>
    </w:p>
    <w:p>
      <w:pPr>
        <w:pStyle w:val="Heading1"/>
        <w:bidi/>
        <w:spacing w:after="150" w:before="300"/>
        <w:jc w:val="right"/>
      </w:pPr>
      <w:r>
        <w:t xml:space="preserve">6. حدود المسؤولية</w:t>
      </w:r>
    </w:p>
    <w:p>
      <w:pPr>
        <w:bidi/>
        <w:spacing w:after="160"/>
        <w:jc w:val="right"/>
      </w:pPr>
      <w:r>
        <w:rPr>
          <w:rtl/>
        </w:rPr>
        <w:t xml:space="preserve">6.1 لا تتجاوز المسؤولية الإجمالية للمرخِّص بموجب هذه الاتفاقية إجمالي الإتاوات المدفوعة من المرخَّص له خلال الاثني عشر (12) شهراً السابقة للمطالبة، باستثناء المطالبات الناشئة عن إخلال المرخِّص بالبند 3 (ملكية الملكية الفكرية).</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Quanta Vision Labs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Sable Optics Manufacturing Co., Ltd.: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2026-07-08T12:06:48.320Z</dcterms:created>
  <dcterms:modified xsi:type="dcterms:W3CDTF">2026-07-08T12:06:48.320Z</dcterms:modified>
</cp:coreProperties>
</file>

<file path=docProps/custom.xml><?xml version="1.0" encoding="utf-8"?>
<Properties xmlns="http://schemas.openxmlformats.org/officeDocument/2006/custom-properties" xmlns:vt="http://schemas.openxmlformats.org/officeDocument/2006/docPropsVTypes"/>
</file>