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ACCORD DE LICENCE LOGICIELLE ET DE REDEVANCES</w:t>
      </w:r>
    </w:p>
    <w:p>
      <w:pPr>
        <w:spacing w:after="120"/>
      </w:pPr>
      <w:r>
        <w:t xml:space="preserve">Le présent Accord de Licence Logicielle et de Redevances (l'« Accord ») est conclu à la date du 6 juillet 2026, entre Quanta Vision Labs Inc., une société de droit du Delaware (le « Concédant »), et Sable Optics Manufacturing Co., Ltd., une société de droit taïwanais (le « Licencié »), aux termes duquel le Concédant accorde au Licencié une licence d'intégration de son logiciel de vision par ordinateur (le « Logiciel Concédé ») dans les produits de caméras du Licencié.</w:t>
      </w:r>
    </w:p>
    <w:p>
      <w:pPr>
        <w:spacing w:after="120"/>
      </w:pPr>
      <w:r>
        <w:rPr>
          <w:b/>
          <w:bCs/>
        </w:rPr>
        <w:t xml:space="preserve">« Produits Concédés »</w:t>
      </w:r>
      <w:r>
        <w:t xml:space="preserve"> désigne les produits matériels de caméra du Licencié dans lesquels le Logiciel Concédé est intégré et distribué aux clients finaux.</w:t>
      </w:r>
    </w:p>
    <w:p>
      <w:pPr>
        <w:spacing w:after="120"/>
      </w:pPr>
      <w:r>
        <w:rPr>
          <w:b/>
          <w:bCs/>
        </w:rPr>
        <w:t xml:space="preserve">« Ventes Nettes »</w:t>
      </w:r>
      <w:r>
        <w:t xml:space="preserve"> désigne le chiffre d'affaires brut perçu par le Licencié au titre des ventes de Produits Concédés, déduction faite des retours, avoirs et taxes applicables.</w:t>
      </w:r>
    </w:p>
    <w:p>
      <w:pPr>
        <w:pStyle w:val="Heading1"/>
        <w:spacing w:after="130" w:before="260"/>
      </w:pPr>
      <w:r>
        <w:t xml:space="preserve">1. OCTROI DE LICENCE</w:t>
      </w:r>
    </w:p>
    <w:p>
      <w:pPr>
        <w:spacing w:after="120"/>
      </w:pPr>
      <w:r>
        <w:t xml:space="preserve">1.1 Le Concédant accorde au Licencié une licence non exclusive, incessible, mondiale, pour intégrer, reproduire et distribuer le Logiciel Concédé uniquement tel qu'incorporé dans les Produits Concédés, pendant la Durée.</w:t>
      </w:r>
    </w:p>
    <w:p>
      <w:pPr>
        <w:spacing w:after="120"/>
      </w:pPr>
      <w:r>
        <w:t xml:space="preserve">1.2 Le Licencié ne procédera à aucune rétro-ingénierie, décompilation, ni création d'œuvre dérivée du Logiciel Concédé, sauf dans la mesure où une telle restriction serait inapplicable en vertu du droit applicable.</w:t>
      </w:r>
    </w:p>
    <w:p>
      <w:pPr>
        <w:pStyle w:val="Heading1"/>
        <w:spacing w:after="130" w:before="260"/>
      </w:pPr>
      <w:r>
        <w:t xml:space="preserve">2. REDEVANCES</w:t>
      </w:r>
    </w:p>
    <w:p>
      <w:pPr>
        <w:spacing w:after="120"/>
      </w:pPr>
      <w:r>
        <w:t xml:space="preserve">2.1 Le Licencié versera au Concédant une redevance de 4,5 % des Ventes Nettes de Produits Concédés, payable trimestriellement, accompagnée d'un rapport de redevances détaillant les unités vendues et les Ventes Nettes.</w:t>
      </w:r>
    </w:p>
    <w:p>
      <w:pPr>
        <w:spacing w:after="120"/>
      </w:pPr>
      <w:r>
        <w:t xml:space="preserve">2.2 Le Concédant aura le droit, moyennant un préavis de trente (30) jours, d'auditer les livres et registres du Licencié relatifs au calcul des redevances, au maximum une fois par an ; si un audit révèle un sous-paiement supérieur à cinq pour cent (5 %), le Licencié supportera le coût raisonnable de l'audit.</w:t>
      </w:r>
    </w:p>
    <w:p>
      <w:pPr>
        <w:pStyle w:val="Heading1"/>
        <w:spacing w:after="130" w:before="260"/>
      </w:pPr>
      <w:r>
        <w:t xml:space="preserve">3. PROPRIÉTÉ DE LA PROPRIÉTÉ INTELLECTUELLE</w:t>
      </w:r>
    </w:p>
    <w:p>
      <w:pPr>
        <w:spacing w:after="120"/>
      </w:pPr>
      <w:r>
        <w:t xml:space="preserve">3.1 Le Concédant conserve l'intégralité des droits sur le Logiciel Concédé, y compris toutes modifications et améliorations, qu'elles soient réalisées par le Concédant ou le Licencié.</w:t>
      </w:r>
    </w:p>
    <w:p>
      <w:pPr>
        <w:pStyle w:val="Heading1"/>
        <w:spacing w:after="130" w:before="260"/>
      </w:pPr>
      <w:r>
        <w:t xml:space="preserve">4. GARANTIE ET EXCLUSION DE GARANTIE</w:t>
      </w:r>
    </w:p>
    <w:p>
      <w:pPr>
        <w:spacing w:after="120"/>
      </w:pPr>
      <w:r>
        <w:t xml:space="preserve">4.1 Le Concédant garantit qu'il détient le droit d'accorder la licence prévue aux présentes. SAUF DISPOSITION EXPRESSE CONTRAIRE, LE LOGICIEL CONCÉDÉ EST FOURNI « TEL QUEL » SANS GARANTIE D'AUCUNE SORTE, EXPRESSE OU IMPLICITE, Y COMPRIS LES GARANTIES DE QUALITÉ MARCHANDE OU D'ADÉQUATION À UN USAGE PARTICULIER.</w:t>
      </w:r>
    </w:p>
    <w:p>
      <w:pPr>
        <w:pStyle w:val="Heading1"/>
        <w:spacing w:after="130" w:before="260"/>
      </w:pPr>
      <w:r>
        <w:t xml:space="preserve">5. DURÉE ET RÉSILIATION</w:t>
      </w:r>
    </w:p>
    <w:p>
      <w:pPr>
        <w:spacing w:after="120"/>
      </w:pPr>
      <w:r>
        <w:t xml:space="preserve">5.1 Le présent Accord se poursuivra pendant cinq (5) ans à compter de la Date d'Effet. Le Concédant pourra résilier le présent Accord immédiatement si le Licencié ne paie pas les redevances dues et ne remédie pas à ce manquement dans un délai de quinze (15) jours suivant une notification écrite.</w:t>
      </w:r>
    </w:p>
    <w:p>
      <w:pPr>
        <w:pStyle w:val="Heading1"/>
        <w:spacing w:after="130" w:before="260"/>
      </w:pPr>
      <w:r>
        <w:t xml:space="preserve">6. LIMITATION DE RESPONSABILITÉ</w:t>
      </w:r>
    </w:p>
    <w:p>
      <w:pPr>
        <w:spacing w:after="120"/>
      </w:pPr>
      <w:r>
        <w:t xml:space="preserve">6.1 La responsabilité globale du Concédant au titre du présent Accord n'excédera pas le total des redevances payées par le Licencié au cours des douze (12) mois précédant la réclamation, sauf en cas de violation par le Concédant de l'article 3 (Propriété de la Propriété Intellectuelle).</w:t>
      </w:r>
    </w:p>
    <w:p>
      <w:pPr>
        <w:pStyle w:val="Heading1"/>
        <w:spacing w:after="130" w:before="260"/>
      </w:pPr>
      <w:r>
        <w:t xml:space="preserve">SIGNATURES</w:t>
      </w:r>
    </w:p>
    <w:p>
      <w:pPr>
        <w:spacing w:after="120"/>
      </w:pPr>
      <w:r>
        <w:t xml:space="preserve">EN FOI DE QUOI, les parties ont signé le présent Accord à la Date d'Effet.</w:t>
      </w:r>
    </w:p>
    <w:p>
      <w:pPr>
        <w:spacing w:after="300"/>
      </w:pPr>
    </w:p>
    <w:p>
      <w:pPr>
        <w:spacing w:after="120"/>
      </w:pPr>
      <w:r>
        <w:t xml:space="preserve">Pour Quanta Vision Labs Inc. :  ____________________________</w:t>
      </w:r>
    </w:p>
    <w:p>
      <w:pPr>
        <w:spacing w:after="120"/>
      </w:pPr>
      <w:r>
        <w:t xml:space="preserve">Nom / Fonction :  ____________________________</w:t>
      </w:r>
    </w:p>
    <w:p>
      <w:pPr>
        <w:spacing w:after="260"/>
      </w:pPr>
    </w:p>
    <w:p>
      <w:pPr>
        <w:spacing w:after="120"/>
      </w:pPr>
      <w:r>
        <w:t xml:space="preserve">Pour Sable Optics Manufacturing Co., Ltd. :  ____________________________</w:t>
      </w:r>
    </w:p>
    <w:p>
      <w:pPr>
        <w:spacing w:after="120"/>
      </w:pPr>
      <w:r>
        <w:t xml:space="preserve">Nom / Fonction :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2026-07-08T11:40:09.586Z</dcterms:created>
  <dcterms:modified xsi:type="dcterms:W3CDTF">2026-07-08T11:40:09.586Z</dcterms:modified>
</cp:coreProperties>
</file>

<file path=docProps/custom.xml><?xml version="1.0" encoding="utf-8"?>
<Properties xmlns="http://schemas.openxmlformats.org/officeDocument/2006/custom-properties" xmlns:vt="http://schemas.openxmlformats.org/officeDocument/2006/docPropsVTypes"/>
</file>